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6"/>
        <w:rPr>
          <w:rFonts w:ascii="Times New Roman"/>
          <w:sz w:val="20"/>
        </w:rPr>
      </w:pPr>
      <w:r>
        <w:rPr>
          <w:rFonts w:ascii="Times New Roman"/>
          <w:sz w:val="20"/>
        </w:rPr>
        <w:drawing>
          <wp:inline distT="0" distB="0" distL="0" distR="0">
            <wp:extent cx="848542" cy="76123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8542" cy="761238"/>
                    </a:xfrm>
                    <a:prstGeom prst="rect">
                      <a:avLst/>
                    </a:prstGeom>
                  </pic:spPr>
                </pic:pic>
              </a:graphicData>
            </a:graphic>
          </wp:inline>
        </w:drawing>
      </w:r>
      <w:r>
        <w:rPr>
          <w:rFonts w:ascii="Times New Roman"/>
          <w:sz w:val="20"/>
        </w:rPr>
      </w:r>
    </w:p>
    <w:p>
      <w:pPr>
        <w:pStyle w:val="BodyText"/>
        <w:spacing w:before="6"/>
        <w:rPr>
          <w:rFonts w:ascii="Times New Roman"/>
          <w:sz w:val="22"/>
        </w:rPr>
      </w:pPr>
    </w:p>
    <w:p>
      <w:pPr>
        <w:pStyle w:val="Heading1"/>
        <w:spacing w:before="93"/>
        <w:ind w:left="1344" w:right="1691"/>
      </w:pPr>
      <w:r>
        <w:rPr/>
        <w:pict>
          <v:shapetype id="_x0000_t202" o:spt="202" coordsize="21600,21600" path="m,l,21600r21600,l21600,xe">
            <v:stroke joinstyle="miter"/>
            <v:path gradientshapeok="t" o:connecttype="rect"/>
          </v:shapetype>
          <v:shape style="position:absolute;margin-left:20pt;margin-top:1.105566pt;width:29pt;height:230.7pt;mso-position-horizontal-relative:page;mso-position-vertical-relative:paragraph;z-index:-8224"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02/11/2021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spacing w:val="-6"/>
        </w:rPr>
        <w:t>ACTA </w:t>
      </w:r>
      <w:r>
        <w:rPr/>
        <w:t>DE LA SESIÓN ORDINARIA CELEBRADA EL DÍA DIECINUEVE DE OCTUBRE DE DOS MIL VEINTIUNO, EN PRIMERA </w:t>
      </w:r>
      <w:r>
        <w:rPr>
          <w:spacing w:val="-3"/>
        </w:rPr>
        <w:t>CONVOCATORIA, </w:t>
      </w:r>
      <w:r>
        <w:rPr/>
        <w:t>POR LA </w:t>
      </w:r>
      <w:r>
        <w:rPr>
          <w:spacing w:val="-5"/>
        </w:rPr>
        <w:t>JUNTA </w:t>
      </w:r>
      <w:r>
        <w:rPr/>
        <w:t>DE GOBIERNO LOCAL.</w:t>
      </w:r>
    </w:p>
    <w:p>
      <w:pPr>
        <w:pStyle w:val="BodyText"/>
        <w:rPr>
          <w:b/>
          <w:sz w:val="26"/>
        </w:rPr>
      </w:pPr>
    </w:p>
    <w:p>
      <w:pPr>
        <w:pStyle w:val="BodyText"/>
        <w:rPr>
          <w:b/>
          <w:sz w:val="22"/>
        </w:rPr>
      </w:pPr>
    </w:p>
    <w:p>
      <w:pPr>
        <w:pStyle w:val="BodyText"/>
        <w:ind w:left="1343" w:right="1688" w:firstLine="720"/>
        <w:jc w:val="both"/>
      </w:pPr>
      <w:r>
        <w:rPr/>
        <w:t>En la Ciudad de </w:t>
      </w:r>
      <w:r>
        <w:rPr>
          <w:spacing w:val="-3"/>
        </w:rPr>
        <w:t>Gáldar, </w:t>
      </w:r>
      <w:r>
        <w:rPr/>
        <w:t>siendo las nueve horas del día diecinueve de Octubre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 Sánchez. Asiste el Interventor Accidental Don Honorio Francisco Jorge Moreno.</w:t>
      </w:r>
    </w:p>
    <w:p>
      <w:pPr>
        <w:spacing w:line="316" w:lineRule="exact" w:before="0"/>
        <w:ind w:left="100" w:right="0" w:firstLine="0"/>
        <w:jc w:val="left"/>
        <w:rPr>
          <w:sz w:val="24"/>
        </w:rPr>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sz w:val="24"/>
        </w:rPr>
        <w:t>Como Secretaria Accidental Doña Candelaria Guerra</w:t>
      </w:r>
      <w:r>
        <w:rPr>
          <w:spacing w:val="-42"/>
          <w:sz w:val="24"/>
        </w:rPr>
        <w:t> </w:t>
      </w:r>
      <w:r>
        <w:rPr>
          <w:sz w:val="24"/>
        </w:rPr>
        <w:t>Pulido.</w:t>
      </w:r>
    </w:p>
    <w:p>
      <w:pPr>
        <w:pStyle w:val="BodyText"/>
        <w:spacing w:before="236"/>
        <w:ind w:left="1343" w:right="1693" w:firstLine="719"/>
        <w:jc w:val="both"/>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5"/>
        </w:rPr>
        <w:t> </w:t>
      </w:r>
      <w:r>
        <w:rPr/>
        <w:t>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1077412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catorce de octubre de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rPr>
          <w:sz w:val="12"/>
        </w:rPr>
      </w:pPr>
    </w:p>
    <w:p>
      <w:pPr>
        <w:pStyle w:val="Heading1"/>
        <w:spacing w:before="92"/>
        <w:ind w:left="1344" w:right="1690" w:firstLine="720"/>
      </w:pPr>
      <w:r>
        <w:rPr/>
        <w:pict>
          <v:shape style="position:absolute;margin-left:567.568359pt;margin-top:28.048326pt;width:14.75pt;height:266.6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C2ASX6D7F7MJ9SXZEQ4LGM7N</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u w:val="single"/>
        </w:rPr>
        <w:t>EXPEDIENTE 18504/2021. NOMBRAMIENTO DE MIEMBROS DEL</w:t>
      </w:r>
      <w:r>
        <w:rPr/>
        <w:t> </w:t>
      </w:r>
      <w:r>
        <w:rPr>
          <w:u w:val="single"/>
        </w:rPr>
        <w:t>PLENARIO DEL CONSEJO MUNICIPAL DE ASOCIACIONES Y ENTIDADES</w:t>
      </w:r>
      <w:r>
        <w:rPr/>
        <w:t> </w:t>
      </w:r>
      <w:r>
        <w:rPr>
          <w:u w:val="single"/>
        </w:rPr>
        <w:t>CIUDADANAS DE GÁLDAR. ACUERDO PROCEDENTE</w:t>
      </w:r>
      <w:r>
        <w:rPr/>
        <w:t>.-</w:t>
      </w:r>
    </w:p>
    <w:p>
      <w:pPr>
        <w:pStyle w:val="BodyText"/>
        <w:spacing w:before="230"/>
        <w:ind w:left="1344" w:right="1691" w:firstLine="707"/>
        <w:jc w:val="both"/>
      </w:pPr>
      <w:r>
        <w:rPr/>
        <w:t>Por el Señor Alcalde-Presidente, Don Teodoro Claret Sosa Monzón, se da cuenta de la siguiente propuesta de acuerdo:</w:t>
      </w:r>
    </w:p>
    <w:p>
      <w:pPr>
        <w:pStyle w:val="BodyText"/>
      </w:pPr>
    </w:p>
    <w:p>
      <w:pPr>
        <w:pStyle w:val="BodyText"/>
        <w:ind w:left="1344" w:right="1693" w:firstLine="707"/>
        <w:jc w:val="both"/>
      </w:pPr>
      <w:r>
        <w:rPr/>
        <w:t>“El Reglamento del Consejo Municipal de Asociaciones y Entidades Ciudadanas de Gáldar fue aprobado definitivamente con su publicación íntegra en el Boletín Oficial de la Provincia nº 79, con fecha de dos de julio de 2021.</w:t>
      </w:r>
    </w:p>
    <w:p>
      <w:pPr>
        <w:pStyle w:val="BodyText"/>
        <w:spacing w:before="11"/>
        <w:rPr>
          <w:sz w:val="23"/>
        </w:rPr>
      </w:pPr>
    </w:p>
    <w:p>
      <w:pPr>
        <w:pStyle w:val="BodyText"/>
        <w:ind w:left="1344" w:right="1696" w:firstLine="707"/>
        <w:jc w:val="both"/>
      </w:pPr>
      <w:r>
        <w:rPr/>
        <w:t>En el artículo 19.1 de dicho Reglamento se establece el periodo de constitución del Plenario, cuya duración máxima será de tres meses y donde los distintos miembros tendrán que designar a sus representantes, titulares y suplentes y comunicarlo al Registro General del</w:t>
      </w:r>
      <w:r>
        <w:rPr>
          <w:spacing w:val="-50"/>
        </w:rPr>
        <w:t> </w:t>
      </w:r>
      <w:r>
        <w:rPr/>
        <w:t>Ayuntamiento.</w:t>
      </w:r>
    </w:p>
    <w:p>
      <w:pPr>
        <w:pStyle w:val="BodyText"/>
        <w:spacing w:before="11"/>
        <w:rPr>
          <w:sz w:val="23"/>
        </w:rPr>
      </w:pPr>
    </w:p>
    <w:p>
      <w:pPr>
        <w:pStyle w:val="BodyText"/>
        <w:ind w:left="1344" w:right="1699" w:firstLine="707"/>
        <w:jc w:val="both"/>
      </w:pPr>
      <w:r>
        <w:rPr/>
        <w:t>En la sesión plenaria de 29 de julio del presente año, se aprobó la apertura  del  fichero  de  miembros  del  Plenario  del  Consejo  Municipal  de</w:t>
      </w:r>
    </w:p>
    <w:p>
      <w:pPr>
        <w:pStyle w:val="BodyText"/>
        <w:spacing w:before="1"/>
        <w:rPr>
          <w:sz w:val="11"/>
        </w:rPr>
      </w:pPr>
      <w:r>
        <w:rPr/>
        <w:drawing>
          <wp:anchor distT="0" distB="0" distL="0" distR="0" allowOverlap="1" layoutInCell="1" locked="0" behindDoc="0" simplePos="0" relativeHeight="0">
            <wp:simplePos x="0" y="0"/>
            <wp:positionH relativeFrom="page">
              <wp:posOffset>1124711</wp:posOffset>
            </wp:positionH>
            <wp:positionV relativeFrom="paragraph">
              <wp:posOffset>106297</wp:posOffset>
            </wp:positionV>
            <wp:extent cx="5384106" cy="16573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84106" cy="165734"/>
                    </a:xfrm>
                    <a:prstGeom prst="rect">
                      <a:avLst/>
                    </a:prstGeom>
                  </pic:spPr>
                </pic:pic>
              </a:graphicData>
            </a:graphic>
          </wp:anchor>
        </w:drawing>
      </w:r>
    </w:p>
    <w:p>
      <w:pPr>
        <w:spacing w:before="60"/>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1184"/>
      </w:pPr>
      <w:r>
        <w:rPr/>
        <w:t>Asociaciones y Entidades Ciudadanas de Gáldar con el objeto de iniciar el proceso de constitución de dicho Consejo.</w:t>
      </w:r>
    </w:p>
    <w:p>
      <w:pPr>
        <w:pStyle w:val="BodyText"/>
      </w:pPr>
    </w:p>
    <w:p>
      <w:pPr>
        <w:pStyle w:val="BodyText"/>
        <w:ind w:left="1243" w:right="1252" w:firstLine="708"/>
        <w:jc w:val="both"/>
      </w:pPr>
      <w:r>
        <w:rPr/>
        <w:t>En el artículo 10 del Reglamento se establece la Composición del Plenario, y concretamente en su punto 4 a) que en el Plenario del Consejo participarán cuatro representantes de la administración: la persona titular de la Concejalía de Participación Ciudadana, y representantes de tres áreas municipales con competencia en materia de asociacionismo; y en el punto 6, que se designará una persona representada y otra suplente para las representaciones del Ayuntamiento de Gáldar.</w:t>
      </w:r>
    </w:p>
    <w:p>
      <w:pPr>
        <w:pStyle w:val="BodyText"/>
        <w:spacing w:before="11"/>
        <w:rPr>
          <w:sz w:val="23"/>
        </w:rPr>
      </w:pPr>
    </w:p>
    <w:p>
      <w:pPr>
        <w:pStyle w:val="BodyText"/>
        <w:ind w:left="1243" w:right="1184" w:firstLine="708"/>
      </w:pPr>
      <w:r>
        <w:rPr/>
        <w:t>El acto de constitución del Consejo Municipal de Asociaciones y Entidades Ciudadanas tendrá lugar el próximo lunes 8 de noviembre.</w:t>
      </w:r>
    </w:p>
    <w:p>
      <w:pPr>
        <w:pStyle w:val="BodyText"/>
        <w:spacing w:before="11"/>
        <w:rPr>
          <w:sz w:val="23"/>
        </w:rPr>
      </w:pPr>
    </w:p>
    <w:p>
      <w:pPr>
        <w:pStyle w:val="BodyText"/>
        <w:ind w:left="1243" w:right="1184" w:firstLine="708"/>
      </w:pPr>
      <w:r>
        <w:rPr/>
        <w:t>Por todo ello, se propone a la Junta de Gobierno Local, la adopción del siguiente acuerdo:</w:t>
      </w:r>
    </w:p>
    <w:p>
      <w:pPr>
        <w:pStyle w:val="BodyText"/>
        <w:spacing w:before="11"/>
        <w:rPr>
          <w:sz w:val="23"/>
        </w:rPr>
      </w:pPr>
    </w:p>
    <w:p>
      <w:pPr>
        <w:pStyle w:val="ListParagraph"/>
        <w:numPr>
          <w:ilvl w:val="0"/>
          <w:numId w:val="1"/>
        </w:numPr>
        <w:tabs>
          <w:tab w:pos="2109" w:val="left" w:leader="none"/>
        </w:tabs>
        <w:spacing w:line="240" w:lineRule="auto" w:before="0" w:after="0"/>
        <w:ind w:left="1243" w:right="1253" w:firstLine="708"/>
        <w:jc w:val="both"/>
        <w:rPr>
          <w:sz w:val="24"/>
        </w:rPr>
      </w:pPr>
      <w:r>
        <w:rPr>
          <w:sz w:val="24"/>
        </w:rPr>
        <w:t>Nombrar a los representantes y suplentes de los cuatro representantes de la administración que participarán como miembros del Plenario del Consejo Municipal de Asociaciones y Entidades Ciudadanas, tal y como establece el artículo 10.4 a) del Reglamento del Consejo Municipal de Asociaciones y Entidades Ciudadanas de</w:t>
      </w:r>
      <w:r>
        <w:rPr>
          <w:spacing w:val="-34"/>
          <w:sz w:val="24"/>
        </w:rPr>
        <w:t> </w:t>
      </w:r>
      <w:r>
        <w:rPr>
          <w:sz w:val="24"/>
        </w:rPr>
        <w:t>Gáldar.”</w:t>
      </w:r>
    </w:p>
    <w:p>
      <w:pPr>
        <w:pStyle w:val="BodyText"/>
        <w:spacing w:before="230"/>
        <w:ind w:left="1243" w:right="1184" w:firstLine="708"/>
      </w:pPr>
      <w:r>
        <w:rPr/>
        <w:t>Vista la propuesta de acuerdo, la Junta de Gobierno Local acordó por unanimidad:</w:t>
      </w:r>
    </w:p>
    <w:p>
      <w:pPr>
        <w:pStyle w:val="ListParagraph"/>
        <w:numPr>
          <w:ilvl w:val="0"/>
          <w:numId w:val="1"/>
        </w:numPr>
        <w:tabs>
          <w:tab w:pos="2116" w:val="left" w:leader="none"/>
        </w:tabs>
        <w:spacing w:line="240" w:lineRule="auto" w:before="230" w:after="0"/>
        <w:ind w:left="1243" w:right="1256" w:firstLine="708"/>
        <w:jc w:val="both"/>
        <w:rPr>
          <w:sz w:val="24"/>
        </w:rPr>
      </w:pPr>
      <w:r>
        <w:rPr>
          <w:sz w:val="24"/>
        </w:rPr>
        <w:t>Nombrar a los siguientes representantes y suplentes del Ayuntamiento de Gáldar que participarán como miembros del Plenario del Consejo Municipal de Asociaciones y Entidades Ciudadanas, tal y como establece el artículo </w:t>
      </w:r>
      <w:r>
        <w:rPr>
          <w:spacing w:val="12"/>
          <w:sz w:val="24"/>
        </w:rPr>
        <w:t> </w:t>
      </w:r>
      <w:r>
        <w:rPr>
          <w:sz w:val="24"/>
        </w:rPr>
        <w:t>10.4</w:t>
      </w:r>
    </w:p>
    <w:p>
      <w:pPr>
        <w:pStyle w:val="ListParagraph"/>
        <w:numPr>
          <w:ilvl w:val="0"/>
          <w:numId w:val="2"/>
        </w:numPr>
        <w:tabs>
          <w:tab w:pos="1636" w:val="left" w:leader="none"/>
        </w:tabs>
        <w:spacing w:line="240" w:lineRule="auto" w:before="0" w:after="0"/>
        <w:ind w:left="1243" w:right="1255" w:firstLine="0"/>
        <w:jc w:val="left"/>
        <w:rPr>
          <w:sz w:val="24"/>
        </w:rPr>
      </w:pPr>
      <w:r>
        <w:rPr/>
        <w:drawing>
          <wp:anchor distT="0" distB="0" distL="0" distR="0" allowOverlap="1" layoutInCell="1" locked="0" behindDoc="0" simplePos="0" relativeHeight="1120">
            <wp:simplePos x="0" y="0"/>
            <wp:positionH relativeFrom="page">
              <wp:posOffset>6858000</wp:posOffset>
            </wp:positionH>
            <wp:positionV relativeFrom="paragraph">
              <wp:posOffset>84019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del Reglamento del Consejo Municipal de Asociaciones y Entidades Ciudadanas de</w:t>
      </w:r>
      <w:r>
        <w:rPr>
          <w:spacing w:val="-12"/>
          <w:sz w:val="24"/>
        </w:rPr>
        <w:t> </w:t>
      </w:r>
      <w:r>
        <w:rPr>
          <w:sz w:val="24"/>
        </w:rPr>
        <w:t>Gáldar:</w:t>
      </w:r>
    </w:p>
    <w:p>
      <w:pPr>
        <w:pStyle w:val="BodyText"/>
        <w:spacing w:before="231"/>
        <w:ind w:left="1951"/>
      </w:pPr>
      <w:r>
        <w:rPr/>
        <w:pict>
          <v:shape style="position:absolute;margin-left:567.568359pt;margin-top:23.478399pt;width:14.75pt;height:266.6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C2ASX6D7F7MJ9SXZEQ4LGM7N</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t>Representantes:</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Don Julio Mateo</w:t>
      </w:r>
      <w:r>
        <w:rPr>
          <w:spacing w:val="-12"/>
          <w:sz w:val="24"/>
        </w:rPr>
        <w:t> </w:t>
      </w:r>
      <w:r>
        <w:rPr>
          <w:sz w:val="24"/>
        </w:rPr>
        <w:t>Castillo.</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Don Ancor Bolaños</w:t>
      </w:r>
      <w:r>
        <w:rPr>
          <w:spacing w:val="-31"/>
          <w:sz w:val="24"/>
        </w:rPr>
        <w:t> </w:t>
      </w:r>
      <w:r>
        <w:rPr>
          <w:sz w:val="24"/>
        </w:rPr>
        <w:t>Delgado.</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Doña Ana </w:t>
      </w:r>
      <w:r>
        <w:rPr>
          <w:spacing w:val="-5"/>
          <w:sz w:val="24"/>
        </w:rPr>
        <w:t>Teresa </w:t>
      </w:r>
      <w:r>
        <w:rPr>
          <w:sz w:val="24"/>
        </w:rPr>
        <w:t>Mendoza</w:t>
      </w:r>
      <w:r>
        <w:rPr>
          <w:spacing w:val="-28"/>
          <w:sz w:val="24"/>
        </w:rPr>
        <w:t> </w:t>
      </w:r>
      <w:r>
        <w:rPr>
          <w:sz w:val="24"/>
        </w:rPr>
        <w:t>Jiménez.</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Doña Nuria Esther </w:t>
      </w:r>
      <w:r>
        <w:rPr>
          <w:spacing w:val="-4"/>
          <w:sz w:val="24"/>
        </w:rPr>
        <w:t>Vega</w:t>
      </w:r>
      <w:r>
        <w:rPr>
          <w:spacing w:val="-6"/>
          <w:sz w:val="24"/>
        </w:rPr>
        <w:t> </w:t>
      </w:r>
      <w:r>
        <w:rPr>
          <w:spacing w:val="-3"/>
          <w:sz w:val="24"/>
        </w:rPr>
        <w:t>Valencia.</w:t>
      </w:r>
    </w:p>
    <w:p>
      <w:pPr>
        <w:pStyle w:val="BodyText"/>
        <w:spacing w:before="230"/>
        <w:ind w:left="1951"/>
      </w:pPr>
      <w:r>
        <w:rPr/>
        <w:t>Suplentes:</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Don Carlos Matías Ruiz</w:t>
      </w:r>
      <w:r>
        <w:rPr>
          <w:spacing w:val="-15"/>
          <w:sz w:val="24"/>
        </w:rPr>
        <w:t> </w:t>
      </w:r>
      <w:r>
        <w:rPr>
          <w:sz w:val="24"/>
        </w:rPr>
        <w:t>Moreno.</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Don Agustín Ismael Mendoza</w:t>
      </w:r>
      <w:r>
        <w:rPr>
          <w:spacing w:val="-32"/>
          <w:sz w:val="24"/>
        </w:rPr>
        <w:t> </w:t>
      </w:r>
      <w:r>
        <w:rPr>
          <w:sz w:val="24"/>
        </w:rPr>
        <w:t>Mendoza.</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Doña Dolores María Delgado</w:t>
      </w:r>
      <w:r>
        <w:rPr>
          <w:spacing w:val="-20"/>
          <w:sz w:val="24"/>
        </w:rPr>
        <w:t> </w:t>
      </w:r>
      <w:r>
        <w:rPr>
          <w:sz w:val="24"/>
        </w:rPr>
        <w:t>Jorge.</w:t>
      </w:r>
    </w:p>
    <w:p>
      <w:pPr>
        <w:pStyle w:val="ListParagraph"/>
        <w:numPr>
          <w:ilvl w:val="1"/>
          <w:numId w:val="2"/>
        </w:numPr>
        <w:tabs>
          <w:tab w:pos="2101" w:val="left" w:leader="none"/>
        </w:tabs>
        <w:spacing w:line="240" w:lineRule="auto" w:before="0" w:after="0"/>
        <w:ind w:left="1244" w:right="0" w:firstLine="707"/>
        <w:jc w:val="left"/>
        <w:rPr>
          <w:sz w:val="24"/>
        </w:rPr>
      </w:pPr>
      <w:r>
        <w:rPr>
          <w:sz w:val="24"/>
        </w:rPr>
        <w:t>Don Ulises David Miranda</w:t>
      </w:r>
      <w:r>
        <w:rPr>
          <w:spacing w:val="-15"/>
          <w:sz w:val="24"/>
        </w:rPr>
        <w:t> </w:t>
      </w:r>
      <w:r>
        <w:rPr>
          <w:sz w:val="24"/>
        </w:rPr>
        <w:t>Guerra.</w:t>
      </w:r>
    </w:p>
    <w:p>
      <w:pPr>
        <w:pStyle w:val="BodyText"/>
        <w:spacing w:before="230"/>
        <w:ind w:left="1243" w:right="1184" w:firstLine="719"/>
      </w:pPr>
      <w:r>
        <w:rPr>
          <w:b/>
          <w:u w:val="single"/>
        </w:rPr>
        <w:t>URGENCIA</w:t>
      </w:r>
      <w:r>
        <w:rPr>
          <w:b/>
        </w:rPr>
        <w:t>.- </w:t>
      </w:r>
      <w:r>
        <w:rPr/>
        <w:t>Seguidamente y previa Declaración de Urgencia acordada por unanimidad, fue tratado el siguiente asunto:</w:t>
      </w:r>
    </w:p>
    <w:p>
      <w:pPr>
        <w:pStyle w:val="Heading1"/>
        <w:spacing w:before="228"/>
        <w:ind w:right="1184"/>
        <w:jc w:val="left"/>
        <w:rPr>
          <w:b w:val="0"/>
        </w:rPr>
      </w:pPr>
      <w:r>
        <w:rPr>
          <w:b w:val="0"/>
        </w:rPr>
        <w:t>A).- </w:t>
      </w:r>
      <w:r>
        <w:rPr>
          <w:u w:val="single"/>
        </w:rPr>
        <w:t>CONCESIÓN DE AYUDAS DE EMERGENCIA SOCIAL. ACUERDO</w:t>
      </w:r>
      <w:r>
        <w:rPr/>
        <w:t> </w:t>
      </w:r>
      <w:r>
        <w:rPr>
          <w:u w:val="single"/>
        </w:rPr>
        <w:t>PROCEDENTE</w:t>
      </w:r>
      <w:r>
        <w:rPr>
          <w:b w:val="0"/>
        </w:rPr>
        <w:t>.-</w:t>
      </w:r>
    </w:p>
    <w:p>
      <w:pPr>
        <w:spacing w:after="0"/>
        <w:jc w:val="left"/>
        <w:sectPr>
          <w:footerReference w:type="default" r:id="rId9"/>
          <w:pgSz w:w="11900" w:h="16840"/>
          <w:pgMar w:footer="340" w:header="0" w:top="1600" w:bottom="540" w:left="460" w:right="440"/>
        </w:sectPr>
      </w:pPr>
    </w:p>
    <w:p>
      <w:pPr>
        <w:pStyle w:val="BodyText"/>
        <w:ind w:left="1256"/>
        <w:rPr>
          <w:sz w:val="20"/>
        </w:rPr>
      </w:pPr>
      <w:r>
        <w:rPr>
          <w:sz w:val="20"/>
        </w:rPr>
        <w:drawing>
          <wp:inline distT="0" distB="0" distL="0" distR="0">
            <wp:extent cx="848542" cy="761238"/>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48542" cy="761238"/>
                    </a:xfrm>
                    <a:prstGeom prst="rect">
                      <a:avLst/>
                    </a:prstGeom>
                  </pic:spPr>
                </pic:pic>
              </a:graphicData>
            </a:graphic>
          </wp:inline>
        </w:drawing>
      </w:r>
      <w:r>
        <w:rPr>
          <w:sz w:val="20"/>
        </w:rPr>
      </w:r>
    </w:p>
    <w:p>
      <w:pPr>
        <w:pStyle w:val="BodyText"/>
        <w:spacing w:before="7"/>
        <w:rPr>
          <w:sz w:val="18"/>
        </w:rPr>
      </w:pPr>
    </w:p>
    <w:p>
      <w:pPr>
        <w:pStyle w:val="BodyText"/>
        <w:spacing w:before="92"/>
        <w:ind w:left="1243" w:right="1249" w:firstLine="708"/>
        <w:jc w:val="both"/>
      </w:pPr>
      <w:r>
        <w:rPr/>
        <w:t>Por la Señora Concejal de Servicios Sociales, Doña Ana </w:t>
      </w:r>
      <w:r>
        <w:rPr>
          <w:spacing w:val="-5"/>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243" w:right="1257" w:firstLine="708"/>
        <w:jc w:val="both"/>
      </w:pPr>
      <w:r>
        <w:rPr/>
        <w:t>Vista la propuesta de acuerdo, la Junta de Gobierno Local acordó por unanimidad:</w:t>
      </w:r>
    </w:p>
    <w:p>
      <w:pPr>
        <w:pStyle w:val="BodyText"/>
        <w:ind w:left="1243" w:right="1252" w:firstLine="707"/>
        <w:jc w:val="both"/>
      </w:pPr>
      <w:r>
        <w:rPr>
          <w:u w:val="single"/>
        </w:rPr>
        <w:t>PRIMERO</w:t>
      </w:r>
      <w:r>
        <w:rPr/>
        <w:t>.- Conceder las siguientes Ayudas de Emergencia Social por los conceptos e importes que se indican, en cuanto que los solicitantes relacionados cumplen las condiciones y requisitos recogidos en la Ordenanza Reguladora de las Ayudas de Emergencia Social del Ayuntamiento de Gáldar:</w:t>
      </w:r>
    </w:p>
    <w:p>
      <w:pPr>
        <w:pStyle w:val="BodyText"/>
        <w:spacing w:before="11"/>
        <w:rPr>
          <w:sz w:val="19"/>
        </w:rPr>
      </w:pPr>
    </w:p>
    <w:tbl>
      <w:tblPr>
        <w:tblW w:w="0" w:type="auto"/>
        <w:jc w:val="left"/>
        <w:tblInd w:w="1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24"/>
        <w:gridCol w:w="2400"/>
        <w:gridCol w:w="1361"/>
        <w:gridCol w:w="2100"/>
        <w:gridCol w:w="1140"/>
      </w:tblGrid>
      <w:tr>
        <w:trPr>
          <w:trHeight w:val="220" w:hRule="atLeast"/>
        </w:trPr>
        <w:tc>
          <w:tcPr>
            <w:tcW w:w="1524" w:type="dxa"/>
          </w:tcPr>
          <w:p>
            <w:pPr>
              <w:pStyle w:val="TableParagraph"/>
              <w:spacing w:line="205" w:lineRule="exact"/>
              <w:ind w:left="310"/>
              <w:rPr>
                <w:b/>
                <w:sz w:val="20"/>
              </w:rPr>
            </w:pPr>
            <w:r>
              <w:rPr>
                <w:b/>
                <w:sz w:val="20"/>
              </w:rPr>
              <w:t>NOMBRE</w:t>
            </w:r>
          </w:p>
        </w:tc>
        <w:tc>
          <w:tcPr>
            <w:tcW w:w="2400" w:type="dxa"/>
          </w:tcPr>
          <w:p>
            <w:pPr>
              <w:pStyle w:val="TableParagraph"/>
              <w:spacing w:line="205" w:lineRule="exact"/>
              <w:ind w:left="620"/>
              <w:rPr>
                <w:b/>
                <w:sz w:val="20"/>
              </w:rPr>
            </w:pPr>
            <w:r>
              <w:rPr>
                <w:b/>
                <w:sz w:val="20"/>
              </w:rPr>
              <w:t>APELLIDOS</w:t>
            </w:r>
          </w:p>
        </w:tc>
        <w:tc>
          <w:tcPr>
            <w:tcW w:w="1361" w:type="dxa"/>
          </w:tcPr>
          <w:p>
            <w:pPr>
              <w:pStyle w:val="TableParagraph"/>
              <w:spacing w:line="205" w:lineRule="exact"/>
              <w:ind w:left="440"/>
              <w:rPr>
                <w:b/>
                <w:sz w:val="20"/>
              </w:rPr>
            </w:pPr>
            <w:r>
              <w:rPr>
                <w:b/>
                <w:sz w:val="20"/>
              </w:rPr>
              <w:t>N.I.F.</w:t>
            </w:r>
          </w:p>
        </w:tc>
        <w:tc>
          <w:tcPr>
            <w:tcW w:w="2100" w:type="dxa"/>
          </w:tcPr>
          <w:p>
            <w:pPr>
              <w:pStyle w:val="TableParagraph"/>
              <w:spacing w:line="205" w:lineRule="exact"/>
              <w:ind w:left="349"/>
              <w:rPr>
                <w:b/>
                <w:sz w:val="20"/>
              </w:rPr>
            </w:pPr>
            <w:r>
              <w:rPr>
                <w:b/>
                <w:sz w:val="20"/>
              </w:rPr>
              <w:t>DESCRIPCIÓN</w:t>
            </w:r>
          </w:p>
        </w:tc>
        <w:tc>
          <w:tcPr>
            <w:tcW w:w="1140" w:type="dxa"/>
          </w:tcPr>
          <w:p>
            <w:pPr>
              <w:pStyle w:val="TableParagraph"/>
              <w:spacing w:line="205" w:lineRule="exact"/>
              <w:ind w:right="109"/>
              <w:jc w:val="right"/>
              <w:rPr>
                <w:b/>
                <w:sz w:val="20"/>
              </w:rPr>
            </w:pPr>
            <w:r>
              <w:rPr>
                <w:b/>
                <w:w w:val="95"/>
                <w:sz w:val="20"/>
              </w:rPr>
              <w:t>CUANTÍA</w:t>
            </w:r>
          </w:p>
        </w:tc>
      </w:tr>
      <w:tr>
        <w:trPr>
          <w:trHeight w:val="340" w:hRule="atLeast"/>
        </w:trPr>
        <w:tc>
          <w:tcPr>
            <w:tcW w:w="1524" w:type="dxa"/>
          </w:tcPr>
          <w:p>
            <w:pPr>
              <w:pStyle w:val="TableParagraph"/>
              <w:spacing w:before="10"/>
              <w:rPr>
                <w:sz w:val="4"/>
              </w:rPr>
            </w:pPr>
          </w:p>
          <w:p>
            <w:pPr>
              <w:pStyle w:val="TableParagraph"/>
              <w:spacing w:line="228" w:lineRule="exact"/>
              <w:ind w:left="119"/>
              <w:rPr>
                <w:sz w:val="20"/>
              </w:rPr>
            </w:pPr>
            <w:r>
              <w:rPr>
                <w:position w:val="-4"/>
                <w:sz w:val="20"/>
              </w:rPr>
              <w:pict>
                <v:group style="width:46.95pt;height:11.4pt;mso-position-horizontal-relative:char;mso-position-vertical-relative:line" coordorigin="0,0" coordsize="939,228">
                  <v:rect style="position:absolute;left:0;top:0;width:939;height:228" filled="true" fillcolor="#000000" stroked="false">
                    <v:fill type="solid"/>
                  </v:rect>
                </v:group>
              </w:pict>
            </w:r>
            <w:r>
              <w:rPr>
                <w:position w:val="-4"/>
                <w:sz w:val="20"/>
              </w:rPr>
            </w:r>
          </w:p>
        </w:tc>
        <w:tc>
          <w:tcPr>
            <w:tcW w:w="2400" w:type="dxa"/>
            <w:tcBorders>
              <w:top w:val="nil"/>
              <w:left w:val="nil"/>
              <w:bottom w:val="nil"/>
              <w:right w:val="nil"/>
            </w:tcBorders>
            <w:shd w:val="clear" w:color="auto" w:fill="000000"/>
          </w:tcPr>
          <w:p>
            <w:pPr>
              <w:pStyle w:val="TableParagraph"/>
              <w:spacing w:before="10"/>
              <w:rPr>
                <w:sz w:val="4"/>
              </w:rPr>
            </w:pPr>
          </w:p>
          <w:p>
            <w:pPr>
              <w:pStyle w:val="TableParagraph"/>
              <w:spacing w:line="228" w:lineRule="exact"/>
              <w:ind w:left="126"/>
              <w:rPr>
                <w:sz w:val="20"/>
              </w:rPr>
            </w:pPr>
            <w:r>
              <w:rPr>
                <w:position w:val="-4"/>
                <w:sz w:val="20"/>
              </w:rPr>
              <w:pict>
                <v:group style="width:99.4pt;height:11.4pt;mso-position-horizontal-relative:char;mso-position-vertical-relative:line" coordorigin="0,0" coordsize="1988,228">
                  <v:rect style="position:absolute;left:0;top:0;width:1988;height:228" filled="true" fillcolor="#000000" stroked="false">
                    <v:fill type="solid"/>
                  </v:rect>
                </v:group>
              </w:pict>
            </w:r>
            <w:r>
              <w:rPr>
                <w:position w:val="-4"/>
                <w:sz w:val="20"/>
              </w:rPr>
            </w:r>
          </w:p>
        </w:tc>
        <w:tc>
          <w:tcPr>
            <w:tcW w:w="1361" w:type="dxa"/>
            <w:tcBorders>
              <w:top w:val="nil"/>
              <w:left w:val="nil"/>
              <w:bottom w:val="nil"/>
              <w:right w:val="nil"/>
            </w:tcBorders>
            <w:shd w:val="clear" w:color="auto" w:fill="000000"/>
          </w:tcPr>
          <w:p>
            <w:pPr>
              <w:pStyle w:val="TableParagraph"/>
              <w:spacing w:before="10"/>
              <w:rPr>
                <w:sz w:val="4"/>
              </w:rPr>
            </w:pPr>
          </w:p>
          <w:p>
            <w:pPr>
              <w:pStyle w:val="TableParagraph"/>
              <w:spacing w:line="228" w:lineRule="exact"/>
              <w:ind w:left="155"/>
              <w:rPr>
                <w:sz w:val="20"/>
              </w:rPr>
            </w:pPr>
            <w:r>
              <w:rPr>
                <w:position w:val="-4"/>
                <w:sz w:val="20"/>
              </w:rPr>
              <w:pict>
                <v:group style="width:54.4pt;height:11.4pt;mso-position-horizontal-relative:char;mso-position-vertical-relative:line" coordorigin="0,0" coordsize="1088,228">
                  <v:rect style="position:absolute;left:0;top:0;width:1088;height:228" filled="true" fillcolor="#000000" stroked="false">
                    <v:fill type="solid"/>
                  </v:rect>
                </v:group>
              </w:pict>
            </w:r>
            <w:r>
              <w:rPr>
                <w:position w:val="-4"/>
                <w:sz w:val="20"/>
              </w:rPr>
            </w:r>
          </w:p>
        </w:tc>
        <w:tc>
          <w:tcPr>
            <w:tcW w:w="2100" w:type="dxa"/>
          </w:tcPr>
          <w:p>
            <w:pPr>
              <w:pStyle w:val="TableParagraph"/>
              <w:spacing w:before="55"/>
              <w:ind w:left="101"/>
              <w:rPr>
                <w:sz w:val="20"/>
              </w:rPr>
            </w:pPr>
            <w:r>
              <w:rPr>
                <w:sz w:val="20"/>
              </w:rPr>
              <w:t>DEUDA DE LUZ</w:t>
            </w:r>
          </w:p>
        </w:tc>
        <w:tc>
          <w:tcPr>
            <w:tcW w:w="1140" w:type="dxa"/>
          </w:tcPr>
          <w:p>
            <w:pPr>
              <w:pStyle w:val="TableParagraph"/>
              <w:spacing w:before="55"/>
              <w:ind w:right="97"/>
              <w:jc w:val="right"/>
              <w:rPr>
                <w:sz w:val="20"/>
              </w:rPr>
            </w:pPr>
            <w:r>
              <w:rPr>
                <w:sz w:val="20"/>
              </w:rPr>
              <w:t>62,53 €</w:t>
            </w:r>
          </w:p>
        </w:tc>
      </w:tr>
      <w:tr>
        <w:trPr>
          <w:trHeight w:val="320" w:hRule="atLeast"/>
        </w:trPr>
        <w:tc>
          <w:tcPr>
            <w:tcW w:w="152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1"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53"/>
              <w:ind w:left="101"/>
              <w:rPr>
                <w:sz w:val="20"/>
              </w:rPr>
            </w:pPr>
            <w:r>
              <w:rPr>
                <w:sz w:val="20"/>
              </w:rPr>
              <w:t>DEUDA DE AGUA</w:t>
            </w:r>
          </w:p>
        </w:tc>
        <w:tc>
          <w:tcPr>
            <w:tcW w:w="1140" w:type="dxa"/>
          </w:tcPr>
          <w:p>
            <w:pPr>
              <w:pStyle w:val="TableParagraph"/>
              <w:spacing w:before="53"/>
              <w:ind w:right="97"/>
              <w:jc w:val="right"/>
              <w:rPr>
                <w:sz w:val="20"/>
              </w:rPr>
            </w:pPr>
            <w:r>
              <w:rPr>
                <w:sz w:val="20"/>
              </w:rPr>
              <w:t>94,75 €</w:t>
            </w:r>
          </w:p>
        </w:tc>
      </w:tr>
      <w:tr>
        <w:trPr>
          <w:trHeight w:val="340" w:hRule="atLeast"/>
        </w:trPr>
        <w:tc>
          <w:tcPr>
            <w:tcW w:w="1524" w:type="dxa"/>
          </w:tcPr>
          <w:p>
            <w:pPr>
              <w:pStyle w:val="TableParagraph"/>
              <w:spacing w:before="10"/>
              <w:rPr>
                <w:sz w:val="4"/>
              </w:rPr>
            </w:pPr>
          </w:p>
          <w:p>
            <w:pPr>
              <w:pStyle w:val="TableParagraph"/>
              <w:spacing w:line="228" w:lineRule="exact"/>
              <w:ind w:left="119"/>
              <w:rPr>
                <w:sz w:val="20"/>
              </w:rPr>
            </w:pPr>
            <w:r>
              <w:rPr>
                <w:position w:val="-4"/>
                <w:sz w:val="20"/>
              </w:rPr>
              <w:pict>
                <v:group style="width:52.2pt;height:11.4pt;mso-position-horizontal-relative:char;mso-position-vertical-relative:line" coordorigin="0,0" coordsize="1044,228">
                  <v:rect style="position:absolute;left:0;top:0;width:1044;height:228" filled="true" fillcolor="#000000" stroked="false">
                    <v:fill type="solid"/>
                  </v:rect>
                </v:group>
              </w:pict>
            </w:r>
            <w:r>
              <w:rPr>
                <w:position w:val="-4"/>
                <w:sz w:val="20"/>
              </w:rPr>
            </w:r>
          </w:p>
        </w:tc>
        <w:tc>
          <w:tcPr>
            <w:tcW w:w="2400" w:type="dxa"/>
            <w:tcBorders>
              <w:top w:val="nil"/>
              <w:left w:val="nil"/>
              <w:bottom w:val="nil"/>
              <w:right w:val="nil"/>
            </w:tcBorders>
            <w:shd w:val="clear" w:color="auto" w:fill="000000"/>
          </w:tcPr>
          <w:p>
            <w:pPr>
              <w:pStyle w:val="TableParagraph"/>
              <w:spacing w:before="10"/>
              <w:rPr>
                <w:sz w:val="4"/>
              </w:rPr>
            </w:pPr>
          </w:p>
          <w:p>
            <w:pPr>
              <w:pStyle w:val="TableParagraph"/>
              <w:spacing w:line="228" w:lineRule="exact"/>
              <w:ind w:left="126"/>
              <w:rPr>
                <w:sz w:val="20"/>
              </w:rPr>
            </w:pPr>
            <w:r>
              <w:rPr>
                <w:position w:val="-4"/>
                <w:sz w:val="20"/>
              </w:rPr>
              <w:pict>
                <v:group style="width:100.35pt;height:11.4pt;mso-position-horizontal-relative:char;mso-position-vertical-relative:line" coordorigin="0,0" coordsize="2007,228">
                  <v:rect style="position:absolute;left:0;top:0;width:2007;height:228" filled="true" fillcolor="#000000" stroked="false">
                    <v:fill type="solid"/>
                  </v:rect>
                </v:group>
              </w:pict>
            </w:r>
            <w:r>
              <w:rPr>
                <w:position w:val="-4"/>
                <w:sz w:val="20"/>
              </w:rPr>
            </w:r>
          </w:p>
        </w:tc>
        <w:tc>
          <w:tcPr>
            <w:tcW w:w="1361" w:type="dxa"/>
            <w:tcBorders>
              <w:top w:val="nil"/>
              <w:left w:val="nil"/>
              <w:bottom w:val="nil"/>
              <w:right w:val="nil"/>
            </w:tcBorders>
            <w:shd w:val="clear" w:color="auto" w:fill="000000"/>
          </w:tcPr>
          <w:p>
            <w:pPr>
              <w:pStyle w:val="TableParagraph"/>
              <w:spacing w:before="10"/>
              <w:rPr>
                <w:sz w:val="4"/>
              </w:rPr>
            </w:pPr>
          </w:p>
          <w:p>
            <w:pPr>
              <w:pStyle w:val="TableParagraph"/>
              <w:spacing w:line="228" w:lineRule="exact"/>
              <w:ind w:left="148"/>
              <w:rPr>
                <w:sz w:val="20"/>
              </w:rPr>
            </w:pPr>
            <w:r>
              <w:rPr>
                <w:position w:val="-4"/>
                <w:sz w:val="20"/>
              </w:rPr>
              <w:pict>
                <v:group style="width:55.1pt;height:11.4pt;mso-position-horizontal-relative:char;mso-position-vertical-relative:line" coordorigin="0,0" coordsize="1102,228">
                  <v:rect style="position:absolute;left:0;top:0;width:1102;height:228" filled="true" fillcolor="#000000" stroked="false">
                    <v:fill type="solid"/>
                  </v:rect>
                </v:group>
              </w:pict>
            </w:r>
            <w:r>
              <w:rPr>
                <w:position w:val="-4"/>
                <w:sz w:val="20"/>
              </w:rPr>
            </w:r>
          </w:p>
        </w:tc>
        <w:tc>
          <w:tcPr>
            <w:tcW w:w="2100" w:type="dxa"/>
          </w:tcPr>
          <w:p>
            <w:pPr>
              <w:pStyle w:val="TableParagraph"/>
              <w:spacing w:before="55"/>
              <w:ind w:left="101"/>
              <w:rPr>
                <w:sz w:val="20"/>
              </w:rPr>
            </w:pPr>
            <w:r>
              <w:rPr>
                <w:sz w:val="20"/>
              </w:rPr>
              <w:t>DEUDA DE LUZ</w:t>
            </w:r>
          </w:p>
        </w:tc>
        <w:tc>
          <w:tcPr>
            <w:tcW w:w="1140" w:type="dxa"/>
          </w:tcPr>
          <w:p>
            <w:pPr>
              <w:pStyle w:val="TableParagraph"/>
              <w:spacing w:before="55"/>
              <w:ind w:right="97"/>
              <w:jc w:val="right"/>
              <w:rPr>
                <w:sz w:val="20"/>
              </w:rPr>
            </w:pPr>
            <w:r>
              <w:rPr>
                <w:sz w:val="20"/>
              </w:rPr>
              <w:t>107,08 €</w:t>
            </w:r>
          </w:p>
        </w:tc>
      </w:tr>
      <w:tr>
        <w:trPr>
          <w:trHeight w:val="320" w:hRule="atLeast"/>
        </w:trPr>
        <w:tc>
          <w:tcPr>
            <w:tcW w:w="152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1"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53"/>
              <w:ind w:left="101"/>
              <w:rPr>
                <w:sz w:val="20"/>
              </w:rPr>
            </w:pPr>
            <w:r>
              <w:rPr>
                <w:sz w:val="20"/>
              </w:rPr>
              <w:t>DEUDA DE AGUA</w:t>
            </w:r>
          </w:p>
        </w:tc>
        <w:tc>
          <w:tcPr>
            <w:tcW w:w="1140" w:type="dxa"/>
          </w:tcPr>
          <w:p>
            <w:pPr>
              <w:pStyle w:val="TableParagraph"/>
              <w:spacing w:before="53"/>
              <w:ind w:right="97"/>
              <w:jc w:val="right"/>
              <w:rPr>
                <w:sz w:val="20"/>
              </w:rPr>
            </w:pPr>
            <w:r>
              <w:rPr>
                <w:sz w:val="20"/>
              </w:rPr>
              <w:t>20,32 €</w:t>
            </w:r>
          </w:p>
        </w:tc>
      </w:tr>
      <w:tr>
        <w:trPr>
          <w:trHeight w:val="340" w:hRule="atLeast"/>
        </w:trPr>
        <w:tc>
          <w:tcPr>
            <w:tcW w:w="1524" w:type="dxa"/>
          </w:tcPr>
          <w:p>
            <w:pPr>
              <w:pStyle w:val="TableParagraph"/>
              <w:spacing w:before="10"/>
              <w:rPr>
                <w:sz w:val="4"/>
              </w:rPr>
            </w:pPr>
          </w:p>
          <w:p>
            <w:pPr>
              <w:pStyle w:val="TableParagraph"/>
              <w:spacing w:line="228" w:lineRule="exact"/>
              <w:ind w:left="119"/>
              <w:rPr>
                <w:sz w:val="20"/>
              </w:rPr>
            </w:pPr>
            <w:r>
              <w:rPr>
                <w:position w:val="-4"/>
                <w:sz w:val="20"/>
              </w:rPr>
              <w:pict>
                <v:group style="width:48.85pt;height:11.4pt;mso-position-horizontal-relative:char;mso-position-vertical-relative:line" coordorigin="0,0" coordsize="977,228">
                  <v:rect style="position:absolute;left:0;top:0;width:977;height:228" filled="true" fillcolor="#000000" stroked="false">
                    <v:fill type="solid"/>
                  </v:rect>
                </v:group>
              </w:pict>
            </w:r>
            <w:r>
              <w:rPr>
                <w:position w:val="-4"/>
                <w:sz w:val="20"/>
              </w:rPr>
            </w:r>
          </w:p>
        </w:tc>
        <w:tc>
          <w:tcPr>
            <w:tcW w:w="2400" w:type="dxa"/>
            <w:tcBorders>
              <w:top w:val="nil"/>
              <w:left w:val="nil"/>
              <w:bottom w:val="nil"/>
              <w:right w:val="nil"/>
            </w:tcBorders>
            <w:shd w:val="clear" w:color="auto" w:fill="000000"/>
          </w:tcPr>
          <w:p>
            <w:pPr>
              <w:pStyle w:val="TableParagraph"/>
              <w:spacing w:before="10"/>
              <w:rPr>
                <w:sz w:val="4"/>
              </w:rPr>
            </w:pPr>
          </w:p>
          <w:p>
            <w:pPr>
              <w:pStyle w:val="TableParagraph"/>
              <w:spacing w:line="228" w:lineRule="exact"/>
              <w:ind w:left="126"/>
              <w:rPr>
                <w:sz w:val="20"/>
              </w:rPr>
            </w:pPr>
            <w:r>
              <w:rPr>
                <w:position w:val="-4"/>
                <w:sz w:val="20"/>
              </w:rPr>
              <w:pict>
                <v:group style="width:107.55pt;height:11.4pt;mso-position-horizontal-relative:char;mso-position-vertical-relative:line" coordorigin="0,0" coordsize="2151,228">
                  <v:rect style="position:absolute;left:0;top:0;width:2151;height:228" filled="true" fillcolor="#000000" stroked="false">
                    <v:fill type="solid"/>
                  </v:rect>
                </v:group>
              </w:pict>
            </w:r>
            <w:r>
              <w:rPr>
                <w:position w:val="-4"/>
                <w:sz w:val="20"/>
              </w:rPr>
            </w:r>
          </w:p>
        </w:tc>
        <w:tc>
          <w:tcPr>
            <w:tcW w:w="1361" w:type="dxa"/>
            <w:tcBorders>
              <w:top w:val="nil"/>
              <w:left w:val="nil"/>
              <w:bottom w:val="nil"/>
              <w:right w:val="nil"/>
            </w:tcBorders>
            <w:shd w:val="clear" w:color="auto" w:fill="000000"/>
          </w:tcPr>
          <w:p>
            <w:pPr>
              <w:pStyle w:val="TableParagraph"/>
              <w:spacing w:before="10"/>
              <w:rPr>
                <w:sz w:val="4"/>
              </w:rPr>
            </w:pPr>
          </w:p>
          <w:p>
            <w:pPr>
              <w:pStyle w:val="TableParagraph"/>
              <w:spacing w:line="228" w:lineRule="exact"/>
              <w:ind w:left="155"/>
              <w:rPr>
                <w:sz w:val="20"/>
              </w:rPr>
            </w:pPr>
            <w:r>
              <w:rPr>
                <w:position w:val="-4"/>
                <w:sz w:val="20"/>
              </w:rPr>
              <w:pict>
                <v:group style="width:54.4pt;height:11.4pt;mso-position-horizontal-relative:char;mso-position-vertical-relative:line" coordorigin="0,0" coordsize="1088,228">
                  <v:rect style="position:absolute;left:0;top:0;width:1088;height:228" filled="true" fillcolor="#000000" stroked="false">
                    <v:fill type="solid"/>
                  </v:rect>
                </v:group>
              </w:pict>
            </w:r>
            <w:r>
              <w:rPr>
                <w:position w:val="-4"/>
                <w:sz w:val="20"/>
              </w:rPr>
            </w:r>
          </w:p>
        </w:tc>
        <w:tc>
          <w:tcPr>
            <w:tcW w:w="2100" w:type="dxa"/>
          </w:tcPr>
          <w:p>
            <w:pPr>
              <w:pStyle w:val="TableParagraph"/>
              <w:spacing w:before="55"/>
              <w:ind w:left="101"/>
              <w:rPr>
                <w:sz w:val="20"/>
              </w:rPr>
            </w:pPr>
            <w:r>
              <w:rPr>
                <w:sz w:val="20"/>
              </w:rPr>
              <w:t>DEUDA DE LUZ</w:t>
            </w:r>
          </w:p>
        </w:tc>
        <w:tc>
          <w:tcPr>
            <w:tcW w:w="1140" w:type="dxa"/>
          </w:tcPr>
          <w:p>
            <w:pPr>
              <w:pStyle w:val="TableParagraph"/>
              <w:spacing w:before="55"/>
              <w:ind w:right="97"/>
              <w:jc w:val="right"/>
              <w:rPr>
                <w:sz w:val="20"/>
              </w:rPr>
            </w:pPr>
            <w:r>
              <w:rPr>
                <w:sz w:val="20"/>
              </w:rPr>
              <w:t>52,32 €</w:t>
            </w:r>
          </w:p>
        </w:tc>
      </w:tr>
      <w:tr>
        <w:trPr>
          <w:trHeight w:val="320" w:hRule="atLeast"/>
        </w:trPr>
        <w:tc>
          <w:tcPr>
            <w:tcW w:w="152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1" w:type="dxa"/>
            <w:tcBorders>
              <w:top w:val="nil"/>
              <w:left w:val="nil"/>
              <w:bottom w:val="nil"/>
              <w:right w:val="nil"/>
            </w:tcBorders>
            <w:shd w:val="clear" w:color="auto" w:fill="000000"/>
          </w:tcPr>
          <w:p>
            <w:pPr>
              <w:pStyle w:val="TableParagraph"/>
              <w:rPr>
                <w:rFonts w:ascii="Times New Roman"/>
                <w:sz w:val="22"/>
              </w:rPr>
            </w:pPr>
          </w:p>
        </w:tc>
        <w:tc>
          <w:tcPr>
            <w:tcW w:w="2100" w:type="dxa"/>
          </w:tcPr>
          <w:p>
            <w:pPr>
              <w:pStyle w:val="TableParagraph"/>
              <w:spacing w:before="53"/>
              <w:ind w:left="101"/>
              <w:rPr>
                <w:sz w:val="20"/>
              </w:rPr>
            </w:pPr>
            <w:r>
              <w:rPr>
                <w:sz w:val="20"/>
              </w:rPr>
              <w:t>MEDICACIÓN</w:t>
            </w:r>
          </w:p>
        </w:tc>
        <w:tc>
          <w:tcPr>
            <w:tcW w:w="1140" w:type="dxa"/>
          </w:tcPr>
          <w:p>
            <w:pPr>
              <w:pStyle w:val="TableParagraph"/>
              <w:spacing w:before="53"/>
              <w:ind w:right="97"/>
              <w:jc w:val="right"/>
              <w:rPr>
                <w:sz w:val="20"/>
              </w:rPr>
            </w:pPr>
            <w:r>
              <w:rPr>
                <w:sz w:val="20"/>
              </w:rPr>
              <w:t>19,27 €</w:t>
            </w:r>
          </w:p>
        </w:tc>
      </w:tr>
    </w:tbl>
    <w:p>
      <w:pPr>
        <w:pStyle w:val="BodyText"/>
        <w:spacing w:before="10"/>
        <w:rPr>
          <w:sz w:val="29"/>
        </w:rPr>
      </w:pPr>
    </w:p>
    <w:p>
      <w:pPr>
        <w:pStyle w:val="BodyText"/>
        <w:ind w:left="1243" w:right="1256" w:firstLine="708"/>
        <w:jc w:val="both"/>
      </w:pPr>
      <w:r>
        <w:rPr>
          <w:u w:val="single"/>
        </w:rPr>
        <w:t>SEGUNDO</w:t>
      </w:r>
      <w:r>
        <w:rPr/>
        <w:t>.- Notificar el presente acuerdo a los interesados, con indicación de los recursos que procedan y las siguientes consideraciones:</w:t>
      </w:r>
    </w:p>
    <w:p>
      <w:pPr>
        <w:pStyle w:val="ListParagraph"/>
        <w:numPr>
          <w:ilvl w:val="1"/>
          <w:numId w:val="2"/>
        </w:numPr>
        <w:tabs>
          <w:tab w:pos="2166" w:val="left" w:leader="none"/>
        </w:tabs>
        <w:spacing w:line="240" w:lineRule="auto" w:before="0" w:after="0"/>
        <w:ind w:left="1244" w:right="1256" w:firstLine="707"/>
        <w:jc w:val="both"/>
        <w:rPr>
          <w:sz w:val="24"/>
        </w:rPr>
      </w:pPr>
      <w:r>
        <w:rPr/>
        <w:drawing>
          <wp:anchor distT="0" distB="0" distL="0" distR="0" allowOverlap="1" layoutInCell="1" locked="0" behindDoc="0" simplePos="0" relativeHeight="1456">
            <wp:simplePos x="0" y="0"/>
            <wp:positionH relativeFrom="page">
              <wp:posOffset>6858000</wp:posOffset>
            </wp:positionH>
            <wp:positionV relativeFrom="paragraph">
              <wp:posOffset>109927</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3.088402pt;width:14.75pt;height:266.6pt;mso-position-horizontal-relative:page;mso-position-vertical-relative:paragraph;z-index:14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C2ASX6D7F7MJ9SXZEQ4LGM7N</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ListParagraph"/>
        <w:numPr>
          <w:ilvl w:val="1"/>
          <w:numId w:val="2"/>
        </w:numPr>
        <w:tabs>
          <w:tab w:pos="2140" w:val="left" w:leader="none"/>
        </w:tabs>
        <w:spacing w:line="240" w:lineRule="auto" w:before="0" w:after="0"/>
        <w:ind w:left="1244" w:right="1251" w:firstLine="708"/>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1" w:firstLine="708"/>
      </w:pPr>
      <w:r>
        <w:rPr>
          <w:b w:val="0"/>
        </w:rPr>
        <w:t>B).- </w:t>
      </w:r>
      <w:r>
        <w:rPr>
          <w:u w:val="single"/>
        </w:rPr>
        <w:t>ARRENDAMIENTO PUESTO Nº12 DEL MERCADO MUNICIPAL.</w:t>
      </w:r>
      <w:r>
        <w:rPr/>
        <w:t> </w:t>
      </w:r>
      <w:r>
        <w:rPr>
          <w:u w:val="single"/>
        </w:rPr>
        <w:t>ACUERDO PROCEDENTE</w:t>
      </w:r>
      <w:r>
        <w:rPr/>
        <w:t>.-</w:t>
      </w:r>
    </w:p>
    <w:p>
      <w:pPr>
        <w:pStyle w:val="BodyText"/>
        <w:spacing w:before="11"/>
        <w:rPr>
          <w:b/>
          <w:sz w:val="23"/>
        </w:rPr>
      </w:pPr>
    </w:p>
    <w:p>
      <w:pPr>
        <w:pStyle w:val="BodyText"/>
        <w:tabs>
          <w:tab w:pos="4841" w:val="left" w:leader="none"/>
          <w:tab w:pos="9679" w:val="left" w:leader="none"/>
        </w:tabs>
        <w:ind w:left="1243" w:right="1251"/>
        <w:jc w:val="both"/>
      </w:pPr>
      <w:r>
        <w:rPr/>
        <w:pict>
          <v:rect style="position:absolute;margin-left:472.919983pt;margin-top:13.775658pt;width:33.959999pt;height:13.8pt;mso-position-horizontal-relative:page;mso-position-vertical-relative:paragraph;z-index:-7888" filled="true" fillcolor="#000000" stroked="false">
            <v:fill type="solid"/>
            <w10:wrap type="none"/>
          </v:rect>
        </w:pict>
      </w:r>
      <w:r>
        <w:rPr/>
        <w:pict>
          <v:rect style="position:absolute;margin-left:195.360001pt;margin-top:27.575657pt;width:69.599998pt;height:13.8pt;mso-position-horizontal-relative:page;mso-position-vertical-relative:paragraph;z-index:-7864" filled="true" fillcolor="#000000" stroked="false">
            <v:fill type="solid"/>
            <w10:wrap type="none"/>
          </v:rect>
        </w:pict>
      </w:r>
      <w:r>
        <w:rPr/>
        <w:t>Por el Señor Alcalde-Presidente, Don </w:t>
      </w:r>
      <w:r>
        <w:rPr>
          <w:spacing w:val="-5"/>
        </w:rPr>
        <w:t>Teodoro </w:t>
      </w:r>
      <w:r>
        <w:rPr/>
        <w:t>C. Sosa Monzón, se expone que con</w:t>
      </w:r>
      <w:r>
        <w:rPr>
          <w:spacing w:val="17"/>
        </w:rPr>
        <w:t> </w:t>
      </w:r>
      <w:r>
        <w:rPr/>
        <w:t>fecha</w:t>
      </w:r>
      <w:r>
        <w:rPr>
          <w:spacing w:val="17"/>
        </w:rPr>
        <w:t> </w:t>
      </w:r>
      <w:r>
        <w:rPr/>
        <w:t>31</w:t>
      </w:r>
      <w:r>
        <w:rPr>
          <w:spacing w:val="15"/>
        </w:rPr>
        <w:t> </w:t>
      </w:r>
      <w:r>
        <w:rPr/>
        <w:t>de</w:t>
      </w:r>
      <w:r>
        <w:rPr>
          <w:spacing w:val="17"/>
        </w:rPr>
        <w:t> </w:t>
      </w:r>
      <w:r>
        <w:rPr/>
        <w:t>agosto </w:t>
      </w:r>
      <w:r>
        <w:rPr>
          <w:spacing w:val="31"/>
        </w:rPr>
        <w:t> </w:t>
      </w:r>
      <w:r>
        <w:rPr/>
        <w:t>de</w:t>
      </w:r>
      <w:r>
        <w:rPr>
          <w:spacing w:val="15"/>
        </w:rPr>
        <w:t> </w:t>
      </w:r>
      <w:r>
        <w:rPr/>
        <w:t>2021,</w:t>
      </w:r>
      <w:r>
        <w:rPr>
          <w:spacing w:val="15"/>
        </w:rPr>
        <w:t> </w:t>
      </w:r>
      <w:r>
        <w:rPr/>
        <w:t>nº</w:t>
      </w:r>
      <w:r>
        <w:rPr>
          <w:spacing w:val="15"/>
        </w:rPr>
        <w:t> </w:t>
      </w:r>
      <w:r>
        <w:rPr/>
        <w:t>de</w:t>
      </w:r>
      <w:r>
        <w:rPr>
          <w:spacing w:val="12"/>
        </w:rPr>
        <w:t> </w:t>
      </w:r>
      <w:r>
        <w:rPr/>
        <w:t>registro</w:t>
      </w:r>
      <w:r>
        <w:rPr>
          <w:spacing w:val="15"/>
        </w:rPr>
        <w:t> </w:t>
      </w:r>
      <w:r>
        <w:rPr/>
        <w:t>de</w:t>
      </w:r>
      <w:r>
        <w:rPr>
          <w:spacing w:val="15"/>
        </w:rPr>
        <w:t> </w:t>
      </w:r>
      <w:r>
        <w:rPr/>
        <w:t>entrada</w:t>
      </w:r>
      <w:r>
        <w:rPr>
          <w:spacing w:val="15"/>
        </w:rPr>
        <w:t> </w:t>
      </w:r>
      <w:r>
        <w:rPr>
          <w:spacing w:val="-5"/>
        </w:rPr>
        <w:t>9115, </w:t>
      </w:r>
      <w:r>
        <w:rPr>
          <w:spacing w:val="38"/>
        </w:rPr>
        <w:t> </w:t>
      </w:r>
      <w:r>
        <w:rPr/>
        <w:t>por</w:t>
      </w:r>
      <w:r>
        <w:rPr>
          <w:rFonts w:ascii="Times New Roman" w:hAnsi="Times New Roman"/>
        </w:rPr>
        <w:tab/>
      </w:r>
      <w:r>
        <w:rPr/>
        <w:t>, titular  del</w:t>
      </w:r>
      <w:r>
        <w:rPr>
          <w:spacing w:val="27"/>
        </w:rPr>
        <w:t> </w:t>
      </w:r>
      <w:r>
        <w:rPr/>
        <w:t>D.N.I.</w:t>
      </w:r>
      <w:r>
        <w:rPr>
          <w:spacing w:val="45"/>
        </w:rPr>
        <w:t> </w:t>
      </w:r>
      <w:r>
        <w:rPr/>
        <w:t>nº</w:t>
      </w:r>
      <w:r>
        <w:rPr>
          <w:rFonts w:ascii="Times New Roman" w:hAnsi="Times New Roman"/>
        </w:rPr>
        <w:tab/>
      </w:r>
      <w:r>
        <w:rPr/>
        <w:t>,</w:t>
      </w:r>
      <w:r>
        <w:rPr>
          <w:spacing w:val="45"/>
        </w:rPr>
        <w:t> </w:t>
      </w:r>
      <w:r>
        <w:rPr/>
        <w:t>se</w:t>
      </w:r>
      <w:r>
        <w:rPr>
          <w:spacing w:val="45"/>
        </w:rPr>
        <w:t> </w:t>
      </w:r>
      <w:r>
        <w:rPr/>
        <w:t>presenta</w:t>
      </w:r>
      <w:r>
        <w:rPr>
          <w:spacing w:val="45"/>
        </w:rPr>
        <w:t> </w:t>
      </w:r>
      <w:r>
        <w:rPr/>
        <w:t>instancia</w:t>
      </w:r>
      <w:r>
        <w:rPr>
          <w:spacing w:val="45"/>
        </w:rPr>
        <w:t> </w:t>
      </w:r>
      <w:r>
        <w:rPr/>
        <w:t>en</w:t>
      </w:r>
      <w:r>
        <w:rPr>
          <w:spacing w:val="45"/>
        </w:rPr>
        <w:t> </w:t>
      </w:r>
      <w:r>
        <w:rPr/>
        <w:t>la</w:t>
      </w:r>
      <w:r>
        <w:rPr>
          <w:spacing w:val="45"/>
        </w:rPr>
        <w:t> </w:t>
      </w:r>
      <w:r>
        <w:rPr/>
        <w:t>que</w:t>
      </w:r>
      <w:r>
        <w:rPr>
          <w:spacing w:val="45"/>
        </w:rPr>
        <w:t> </w:t>
      </w:r>
      <w:r>
        <w:rPr/>
        <w:t>solicita</w:t>
      </w:r>
      <w:r>
        <w:rPr>
          <w:spacing w:val="45"/>
        </w:rPr>
        <w:t> </w:t>
      </w:r>
      <w:r>
        <w:rPr/>
        <w:t>la</w:t>
      </w:r>
    </w:p>
    <w:p>
      <w:pPr>
        <w:pStyle w:val="BodyText"/>
        <w:spacing w:before="8"/>
        <w:rPr>
          <w:sz w:val="14"/>
        </w:rPr>
      </w:pPr>
      <w:r>
        <w:rPr/>
        <w:drawing>
          <wp:anchor distT="0" distB="0" distL="0" distR="0" allowOverlap="1" layoutInCell="1" locked="0" behindDoc="0" simplePos="0" relativeHeight="1384">
            <wp:simplePos x="0" y="0"/>
            <wp:positionH relativeFrom="page">
              <wp:posOffset>1124711</wp:posOffset>
            </wp:positionH>
            <wp:positionV relativeFrom="paragraph">
              <wp:posOffset>132076</wp:posOffset>
            </wp:positionV>
            <wp:extent cx="5384106" cy="165734"/>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84106" cy="165734"/>
                    </a:xfrm>
                    <a:prstGeom prst="rect">
                      <a:avLst/>
                    </a:prstGeom>
                  </pic:spPr>
                </pic:pic>
              </a:graphicData>
            </a:graphic>
          </wp:anchor>
        </w:drawing>
      </w:r>
    </w:p>
    <w:p>
      <w:pPr>
        <w:spacing w:after="0"/>
        <w:rPr>
          <w:sz w:val="14"/>
        </w:rPr>
        <w:sectPr>
          <w:footerReference w:type="default" r:id="rId10"/>
          <w:pgSz w:w="11900" w:h="16840"/>
          <w:pgMar w:footer="340" w:header="0" w:top="720" w:bottom="540" w:left="460" w:right="440"/>
          <w:pgNumType w:start="3"/>
        </w:sectPr>
      </w:pPr>
    </w:p>
    <w:p>
      <w:pPr>
        <w:pStyle w:val="BodyText"/>
        <w:spacing w:before="3"/>
        <w:rPr>
          <w:sz w:val="26"/>
        </w:rPr>
      </w:pPr>
    </w:p>
    <w:p>
      <w:pPr>
        <w:pStyle w:val="BodyText"/>
        <w:spacing w:before="93"/>
        <w:ind w:left="1243"/>
      </w:pPr>
      <w:r>
        <w:rPr/>
        <w:t>adjudicación del  puesto  nº 12 del Mercado Municipal.</w:t>
      </w:r>
    </w:p>
    <w:p>
      <w:pPr>
        <w:pStyle w:val="BodyText"/>
        <w:ind w:left="1243" w:right="1252" w:firstLine="708"/>
        <w:jc w:val="both"/>
      </w:pPr>
      <w:r>
        <w:rPr/>
        <w:t>A la vista de la solicitud, la Junta de Gobierno Local por unanimidad acordó la adopción de los siguientes acuerdos:</w:t>
      </w:r>
    </w:p>
    <w:p>
      <w:pPr>
        <w:pStyle w:val="BodyText"/>
        <w:tabs>
          <w:tab w:pos="3144" w:val="left" w:leader="none"/>
          <w:tab w:pos="6521" w:val="left" w:leader="none"/>
        </w:tabs>
        <w:ind w:left="1243" w:right="1252" w:firstLine="708"/>
        <w:jc w:val="both"/>
      </w:pPr>
      <w:r>
        <w:rPr/>
        <w:pict>
          <v:rect style="position:absolute;margin-left:95.639999pt;margin-top:13.895206pt;width:84.599998pt;height:13.8pt;mso-position-horizontal-relative:page;mso-position-vertical-relative:paragraph;z-index:-7768" filled="true" fillcolor="#000000" stroked="false">
            <v:fill type="solid"/>
            <w10:wrap type="none"/>
          </v:rect>
        </w:pict>
      </w:r>
      <w:r>
        <w:rPr/>
        <w:pict>
          <v:rect style="position:absolute;margin-left:291.359985pt;margin-top:13.895206pt;width:57.719999pt;height:13.8pt;mso-position-horizontal-relative:page;mso-position-vertical-relative:paragraph;z-index:-7744" filled="true" fillcolor="#000000" stroked="false">
            <v:fill type="solid"/>
            <w10:wrap type="none"/>
          </v:rect>
        </w:pict>
      </w:r>
      <w:r>
        <w:rPr>
          <w:u w:val="single"/>
        </w:rPr>
        <w:t>Primero</w:t>
      </w:r>
      <w:r>
        <w:rPr/>
        <w:t>.- Adjudicar directamente el puesto nº 12 del Mercado Municipal a</w:t>
      </w:r>
      <w:r>
        <w:rPr>
          <w:rFonts w:ascii="Times New Roman" w:hAnsi="Times New Roman"/>
        </w:rPr>
        <w:tab/>
      </w:r>
      <w:r>
        <w:rPr/>
        <w:t>, con</w:t>
      </w:r>
      <w:r>
        <w:rPr>
          <w:spacing w:val="21"/>
        </w:rPr>
        <w:t> </w:t>
      </w:r>
      <w:r>
        <w:rPr>
          <w:spacing w:val="-3"/>
        </w:rPr>
        <w:t>D.N.I./N.I.F.</w:t>
      </w:r>
      <w:r>
        <w:rPr>
          <w:spacing w:val="10"/>
        </w:rPr>
        <w:t> </w:t>
      </w:r>
      <w:r>
        <w:rPr/>
        <w:t>nº</w:t>
      </w:r>
      <w:r>
        <w:rPr>
          <w:rFonts w:ascii="Times New Roman" w:hAnsi="Times New Roman"/>
        </w:rPr>
        <w:tab/>
      </w:r>
      <w:r>
        <w:rPr/>
        <w:t>, para destinarlo a la</w:t>
      </w:r>
      <w:r>
        <w:rPr>
          <w:spacing w:val="35"/>
        </w:rPr>
        <w:t> </w:t>
      </w:r>
      <w:r>
        <w:rPr/>
        <w:t>venta</w:t>
      </w:r>
      <w:r>
        <w:rPr>
          <w:spacing w:val="6"/>
        </w:rPr>
        <w:t> </w:t>
      </w:r>
      <w:r>
        <w:rPr/>
        <w:t>de</w:t>
      </w:r>
      <w:r>
        <w:rPr>
          <w:rFonts w:ascii="Times New Roman" w:hAnsi="Times New Roman"/>
          <w:w w:val="99"/>
        </w:rPr>
        <w:t> </w:t>
      </w:r>
      <w:r>
        <w:rPr/>
        <w:t>pan, dulces, quesos, vinos, miel, aceite y otros similares. La adjudicataria no podrá llevar a efecto actividades que a juicio de la Administración del Mercado sean incompatibles con el destino del puesto, debiéndose sujetar en todo momento a su Reglamento</w:t>
      </w:r>
      <w:r>
        <w:rPr>
          <w:spacing w:val="-16"/>
        </w:rPr>
        <w:t> </w:t>
      </w:r>
      <w:r>
        <w:rPr/>
        <w:t>Interno.</w:t>
      </w:r>
    </w:p>
    <w:p>
      <w:pPr>
        <w:pStyle w:val="BodyText"/>
        <w:ind w:left="1243" w:right="1252" w:firstLine="708"/>
        <w:jc w:val="both"/>
      </w:pPr>
      <w:r>
        <w:rPr>
          <w:u w:val="single"/>
        </w:rPr>
        <w:t>Segundo</w:t>
      </w:r>
      <w:r>
        <w:rPr/>
        <w:t>.- La nueva adjudicataria deberá abonar mensualmente el precio establecido en las ordenanzas municipales y deberá realizar un adelanto de dos mensualidades como garantía. Es independiente de este importe los gastos de luz y de</w:t>
      </w:r>
      <w:r>
        <w:rPr>
          <w:spacing w:val="-13"/>
        </w:rPr>
        <w:t> </w:t>
      </w:r>
      <w:r>
        <w:rPr/>
        <w:t>agua.</w:t>
      </w:r>
    </w:p>
    <w:p>
      <w:pPr>
        <w:pStyle w:val="BodyText"/>
        <w:ind w:left="1243" w:right="1260" w:firstLine="707"/>
        <w:jc w:val="both"/>
      </w:pPr>
      <w:r>
        <w:rPr>
          <w:spacing w:val="-4"/>
          <w:u w:val="single"/>
        </w:rPr>
        <w:t>Tercero</w:t>
      </w:r>
      <w:r>
        <w:rPr>
          <w:spacing w:val="-4"/>
        </w:rPr>
        <w:t>.-</w:t>
      </w:r>
      <w:r>
        <w:rPr>
          <w:spacing w:val="57"/>
        </w:rPr>
        <w:t> </w:t>
      </w:r>
      <w:r>
        <w:rPr/>
        <w:t>La nueva adjudicataria queda sujeta a todos los derechos y obligaciones  recogidos en el Reglamento Interno del Mercado Municipal.</w:t>
      </w:r>
    </w:p>
    <w:p>
      <w:pPr>
        <w:pStyle w:val="BodyText"/>
        <w:ind w:left="1244" w:right="1259" w:firstLine="707"/>
        <w:jc w:val="both"/>
      </w:pPr>
      <w:r>
        <w:rPr>
          <w:u w:val="single"/>
        </w:rPr>
        <w:t>Cuarto</w:t>
      </w:r>
      <w:r>
        <w:rPr/>
        <w:t>.- Dar traslado del acuerdo que se adopte al Negociado de Asuntos Tributarios a los efectos oportunos.</w:t>
      </w:r>
    </w:p>
    <w:p>
      <w:pPr>
        <w:spacing w:before="230"/>
        <w:ind w:left="1952" w:right="0" w:firstLine="0"/>
        <w:jc w:val="left"/>
        <w:rPr>
          <w:sz w:val="24"/>
        </w:rPr>
      </w:pPr>
      <w:r>
        <w:rPr>
          <w:sz w:val="24"/>
        </w:rPr>
        <w:t>3º.-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3" w:right="1251" w:firstLine="708"/>
        <w:jc w:val="both"/>
      </w:pPr>
      <w:r>
        <w:rPr/>
        <w:pict>
          <v:shape style="position:absolute;margin-left:567.568359pt;margin-top:145.368378pt;width:14.75pt;height:266.6pt;mso-position-horizontal-relative:page;mso-position-vertical-relative:paragraph;z-index:-77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C2ASX6D7F7MJ9SXZEQ4LGM7N</w:t>
                  </w:r>
                  <w:r>
                    <w:rPr>
                      <w:sz w:val="12"/>
                    </w:rPr>
                    <w:t>5</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spacing w:before="1"/>
        <w:rPr>
          <w:sz w:val="16"/>
        </w:rPr>
      </w:pPr>
      <w:r>
        <w:rPr/>
        <w:drawing>
          <wp:anchor distT="0" distB="0" distL="0" distR="0" allowOverlap="1" layoutInCell="1" locked="0" behindDoc="0" simplePos="0" relativeHeight="1504">
            <wp:simplePos x="0" y="0"/>
            <wp:positionH relativeFrom="page">
              <wp:posOffset>6858000</wp:posOffset>
            </wp:positionH>
            <wp:positionV relativeFrom="paragraph">
              <wp:posOffset>142545</wp:posOffset>
            </wp:positionV>
            <wp:extent cx="354710" cy="3927157"/>
            <wp:effectExtent l="0" t="0" r="0" b="0"/>
            <wp:wrapTopAndBottom/>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559814pt;margin-top:794.343323pt;width:15.85pt;height:13.15pt;mso-position-horizontal-relative:page;mso-position-vertical-relative:page;z-index:-8272"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8248"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243" w:hanging="392"/>
        <w:jc w:val="left"/>
      </w:pPr>
      <w:rPr>
        <w:rFonts w:hint="default" w:ascii="Arial" w:hAnsi="Arial" w:eastAsia="Arial" w:cs="Arial"/>
        <w:w w:val="99"/>
        <w:sz w:val="24"/>
        <w:szCs w:val="24"/>
      </w:rPr>
    </w:lvl>
    <w:lvl w:ilvl="1">
      <w:start w:val="0"/>
      <w:numFmt w:val="bullet"/>
      <w:lvlText w:val="-"/>
      <w:lvlJc w:val="left"/>
      <w:pPr>
        <w:ind w:left="1244" w:hanging="149"/>
      </w:pPr>
      <w:rPr>
        <w:rFonts w:hint="default" w:ascii="Arial" w:hAnsi="Arial" w:eastAsia="Arial" w:cs="Arial"/>
        <w:w w:val="99"/>
        <w:sz w:val="24"/>
        <w:szCs w:val="24"/>
      </w:rPr>
    </w:lvl>
    <w:lvl w:ilvl="2">
      <w:start w:val="0"/>
      <w:numFmt w:val="bullet"/>
      <w:lvlText w:val="•"/>
      <w:lvlJc w:val="left"/>
      <w:pPr>
        <w:ind w:left="3192" w:hanging="149"/>
      </w:pPr>
      <w:rPr>
        <w:rFonts w:hint="default"/>
      </w:rPr>
    </w:lvl>
    <w:lvl w:ilvl="3">
      <w:start w:val="0"/>
      <w:numFmt w:val="bullet"/>
      <w:lvlText w:val="•"/>
      <w:lvlJc w:val="left"/>
      <w:pPr>
        <w:ind w:left="4168" w:hanging="149"/>
      </w:pPr>
      <w:rPr>
        <w:rFonts w:hint="default"/>
      </w:rPr>
    </w:lvl>
    <w:lvl w:ilvl="4">
      <w:start w:val="0"/>
      <w:numFmt w:val="bullet"/>
      <w:lvlText w:val="•"/>
      <w:lvlJc w:val="left"/>
      <w:pPr>
        <w:ind w:left="5144" w:hanging="149"/>
      </w:pPr>
      <w:rPr>
        <w:rFonts w:hint="default"/>
      </w:rPr>
    </w:lvl>
    <w:lvl w:ilvl="5">
      <w:start w:val="0"/>
      <w:numFmt w:val="bullet"/>
      <w:lvlText w:val="•"/>
      <w:lvlJc w:val="left"/>
      <w:pPr>
        <w:ind w:left="6120" w:hanging="149"/>
      </w:pPr>
      <w:rPr>
        <w:rFonts w:hint="default"/>
      </w:rPr>
    </w:lvl>
    <w:lvl w:ilvl="6">
      <w:start w:val="0"/>
      <w:numFmt w:val="bullet"/>
      <w:lvlText w:val="•"/>
      <w:lvlJc w:val="left"/>
      <w:pPr>
        <w:ind w:left="7096" w:hanging="149"/>
      </w:pPr>
      <w:rPr>
        <w:rFonts w:hint="default"/>
      </w:rPr>
    </w:lvl>
    <w:lvl w:ilvl="7">
      <w:start w:val="0"/>
      <w:numFmt w:val="bullet"/>
      <w:lvlText w:val="•"/>
      <w:lvlJc w:val="left"/>
      <w:pPr>
        <w:ind w:left="8072" w:hanging="149"/>
      </w:pPr>
      <w:rPr>
        <w:rFonts w:hint="default"/>
      </w:rPr>
    </w:lvl>
    <w:lvl w:ilvl="8">
      <w:start w:val="0"/>
      <w:numFmt w:val="bullet"/>
      <w:lvlText w:val="•"/>
      <w:lvlJc w:val="left"/>
      <w:pPr>
        <w:ind w:left="9048" w:hanging="149"/>
      </w:pPr>
      <w:rPr>
        <w:rFonts w:hint="default"/>
      </w:rPr>
    </w:lvl>
  </w:abstractNum>
  <w:abstractNum w:abstractNumId="0">
    <w:multiLevelType w:val="hybridMultilevel"/>
    <w:lvl w:ilvl="0">
      <w:start w:val="0"/>
      <w:numFmt w:val="bullet"/>
      <w:lvlText w:val="-"/>
      <w:lvlJc w:val="left"/>
      <w:pPr>
        <w:ind w:left="1243" w:hanging="157"/>
      </w:pPr>
      <w:rPr>
        <w:rFonts w:hint="default" w:ascii="Arial" w:hAnsi="Arial" w:eastAsia="Arial" w:cs="Arial"/>
        <w:w w:val="99"/>
        <w:sz w:val="24"/>
        <w:szCs w:val="24"/>
      </w:rPr>
    </w:lvl>
    <w:lvl w:ilvl="1">
      <w:start w:val="0"/>
      <w:numFmt w:val="bullet"/>
      <w:lvlText w:val="•"/>
      <w:lvlJc w:val="left"/>
      <w:pPr>
        <w:ind w:left="2216" w:hanging="157"/>
      </w:pPr>
      <w:rPr>
        <w:rFonts w:hint="default"/>
      </w:rPr>
    </w:lvl>
    <w:lvl w:ilvl="2">
      <w:start w:val="0"/>
      <w:numFmt w:val="bullet"/>
      <w:lvlText w:val="•"/>
      <w:lvlJc w:val="left"/>
      <w:pPr>
        <w:ind w:left="3192" w:hanging="157"/>
      </w:pPr>
      <w:rPr>
        <w:rFonts w:hint="default"/>
      </w:rPr>
    </w:lvl>
    <w:lvl w:ilvl="3">
      <w:start w:val="0"/>
      <w:numFmt w:val="bullet"/>
      <w:lvlText w:val="•"/>
      <w:lvlJc w:val="left"/>
      <w:pPr>
        <w:ind w:left="4168" w:hanging="157"/>
      </w:pPr>
      <w:rPr>
        <w:rFonts w:hint="default"/>
      </w:rPr>
    </w:lvl>
    <w:lvl w:ilvl="4">
      <w:start w:val="0"/>
      <w:numFmt w:val="bullet"/>
      <w:lvlText w:val="•"/>
      <w:lvlJc w:val="left"/>
      <w:pPr>
        <w:ind w:left="5144" w:hanging="157"/>
      </w:pPr>
      <w:rPr>
        <w:rFonts w:hint="default"/>
      </w:rPr>
    </w:lvl>
    <w:lvl w:ilvl="5">
      <w:start w:val="0"/>
      <w:numFmt w:val="bullet"/>
      <w:lvlText w:val="•"/>
      <w:lvlJc w:val="left"/>
      <w:pPr>
        <w:ind w:left="6120" w:hanging="157"/>
      </w:pPr>
      <w:rPr>
        <w:rFonts w:hint="default"/>
      </w:rPr>
    </w:lvl>
    <w:lvl w:ilvl="6">
      <w:start w:val="0"/>
      <w:numFmt w:val="bullet"/>
      <w:lvlText w:val="•"/>
      <w:lvlJc w:val="left"/>
      <w:pPr>
        <w:ind w:left="7096" w:hanging="157"/>
      </w:pPr>
      <w:rPr>
        <w:rFonts w:hint="default"/>
      </w:rPr>
    </w:lvl>
    <w:lvl w:ilvl="7">
      <w:start w:val="0"/>
      <w:numFmt w:val="bullet"/>
      <w:lvlText w:val="•"/>
      <w:lvlJc w:val="left"/>
      <w:pPr>
        <w:ind w:left="8072" w:hanging="157"/>
      </w:pPr>
      <w:rPr>
        <w:rFonts w:hint="default"/>
      </w:rPr>
    </w:lvl>
    <w:lvl w:ilvl="8">
      <w:start w:val="0"/>
      <w:numFmt w:val="bullet"/>
      <w:lvlText w:val="•"/>
      <w:lvlJc w:val="left"/>
      <w:pPr>
        <w:ind w:left="9048" w:hanging="157"/>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07"/>
      <w:jc w:val="both"/>
      <w:outlineLvl w:val="1"/>
    </w:pPr>
    <w:rPr>
      <w:rFonts w:ascii="Arial" w:hAnsi="Arial" w:eastAsia="Arial" w:cs="Arial"/>
      <w:b/>
      <w:bCs/>
      <w:sz w:val="24"/>
      <w:szCs w:val="24"/>
    </w:rPr>
  </w:style>
  <w:style w:styleId="ListParagraph" w:type="paragraph">
    <w:name w:val="List Paragraph"/>
    <w:basedOn w:val="Normal"/>
    <w:uiPriority w:val="1"/>
    <w:qFormat/>
    <w:pPr>
      <w:ind w:left="1244" w:firstLine="707"/>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211019.JGL</dc:title>
  <dcterms:created xsi:type="dcterms:W3CDTF">2022-05-08T13:28:07Z</dcterms:created>
  <dcterms:modified xsi:type="dcterms:W3CDTF">2022-05-08T13:28:07Z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2021-11-02T00:00:00Z</vt:filetime>
  </property>
  <property fmtid="{D5CDD505-2E9C-101B-9397-08002B2CF9AE}" pid="3" name="Creator">
    <vt:lpwstr>PDFCreator 2.3.0.103</vt:lpwstr>
  </property>
  <property fmtid="{D5CDD505-2E9C-101B-9397-08002B2CF9AE}" pid="4" name="LastSaved">
    <vt:filetime>2022-05-08T00:00:00Z</vt:filetime>
  </property>
</Properties>
</file>